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B6F" w:rsidRDefault="00564B6F">
      <w:pPr>
        <w:pStyle w:val="berschrift1"/>
        <w:rPr>
          <w:rStyle w:val="Platzhaltertext"/>
          <w:b w:val="0"/>
          <w:color w:val="auto"/>
          <w:sz w:val="44"/>
        </w:rPr>
      </w:pPr>
    </w:p>
    <w:p w:rsidR="00564B6F" w:rsidRDefault="00564B6F">
      <w:pPr>
        <w:jc w:val="center"/>
        <w:rPr>
          <w:rStyle w:val="Platzhaltertext"/>
          <w:b/>
          <w:color w:val="auto"/>
          <w:sz w:val="20"/>
          <w:szCs w:val="20"/>
        </w:rPr>
      </w:pPr>
    </w:p>
    <w:p w:rsidR="00564B6F" w:rsidRDefault="009A1A98">
      <w:pPr>
        <w:jc w:val="center"/>
        <w:rPr>
          <w:rStyle w:val="Platzhaltertext"/>
          <w:b/>
          <w:color w:val="auto"/>
          <w:sz w:val="40"/>
        </w:rPr>
      </w:pPr>
      <w:r>
        <w:rPr>
          <w:rStyle w:val="Platzhaltertext"/>
          <w:b/>
          <w:color w:val="auto"/>
          <w:sz w:val="40"/>
        </w:rPr>
        <w:t xml:space="preserve">Ergänzendes Dokument zum Verwendungsnachweis </w:t>
      </w:r>
    </w:p>
    <w:p w:rsidR="00564B6F" w:rsidRDefault="00564B6F">
      <w:pPr>
        <w:jc w:val="center"/>
        <w:rPr>
          <w:rStyle w:val="Platzhaltertext"/>
          <w:b/>
          <w:color w:val="auto"/>
          <w:sz w:val="2"/>
        </w:rPr>
      </w:pPr>
    </w:p>
    <w:p w:rsidR="00564B6F" w:rsidRDefault="009A1A98">
      <w:pPr>
        <w:jc w:val="center"/>
        <w:rPr>
          <w:rStyle w:val="Platzhaltertext"/>
          <w:b/>
          <w:color w:val="auto"/>
          <w:sz w:val="32"/>
        </w:rPr>
      </w:pPr>
      <w:r>
        <w:rPr>
          <w:rStyle w:val="Platzhaltertext"/>
          <w:b/>
          <w:color w:val="auto"/>
          <w:sz w:val="32"/>
        </w:rPr>
        <w:t xml:space="preserve">im Rahmen der Erstorientierungskurse für </w:t>
      </w:r>
      <w:r>
        <w:rPr>
          <w:rStyle w:val="Platzhaltertext"/>
          <w:b/>
          <w:color w:val="auto"/>
          <w:sz w:val="32"/>
        </w:rPr>
        <w:br/>
      </w:r>
      <w:r w:rsidR="00935F28">
        <w:rPr>
          <w:rStyle w:val="Platzhaltertext"/>
          <w:b/>
          <w:color w:val="auto"/>
          <w:sz w:val="32"/>
        </w:rPr>
        <w:t>Schutzsuchende und Zugewanderte</w:t>
      </w:r>
      <w:bookmarkStart w:id="0" w:name="_GoBack"/>
      <w:bookmarkEnd w:id="0"/>
    </w:p>
    <w:p w:rsidR="00564B6F" w:rsidRDefault="00564B6F">
      <w:pPr>
        <w:rPr>
          <w:sz w:val="28"/>
          <w:szCs w:val="28"/>
        </w:rPr>
      </w:pPr>
    </w:p>
    <w:p w:rsidR="003F0874" w:rsidRPr="00C97094" w:rsidRDefault="003F0874" w:rsidP="003F0874">
      <w:pPr>
        <w:rPr>
          <w:sz w:val="24"/>
          <w:szCs w:val="24"/>
        </w:rPr>
      </w:pPr>
      <w:r w:rsidRPr="00C97094">
        <w:rPr>
          <w:sz w:val="24"/>
          <w:szCs w:val="24"/>
        </w:rPr>
        <w:t xml:space="preserve">Ergänzend zu unserem Verwendungsnachweis für </w:t>
      </w:r>
      <w:r w:rsidR="00201BF7" w:rsidRPr="00C97094">
        <w:rPr>
          <w:sz w:val="24"/>
          <w:szCs w:val="24"/>
        </w:rPr>
        <w:t xml:space="preserve">den </w:t>
      </w:r>
      <w:r w:rsidR="00C97094" w:rsidRPr="00C97094">
        <w:rPr>
          <w:sz w:val="24"/>
          <w:szCs w:val="24"/>
        </w:rPr>
        <w:t>Standort</w:t>
      </w:r>
      <w:r w:rsidR="00201BF7" w:rsidRPr="00C97094">
        <w:rPr>
          <w:sz w:val="24"/>
          <w:szCs w:val="24"/>
        </w:rPr>
        <w:t xml:space="preserve"> RP…………………….</w:t>
      </w:r>
      <w:r w:rsidRPr="00C97094">
        <w:rPr>
          <w:sz w:val="24"/>
          <w:szCs w:val="24"/>
        </w:rPr>
        <w:t xml:space="preserve"> erklären wir ausdrücklich, </w:t>
      </w:r>
    </w:p>
    <w:p w:rsidR="003F0874" w:rsidRPr="00C97094" w:rsidRDefault="003F0874" w:rsidP="003F0874">
      <w:pPr>
        <w:pStyle w:val="Listenabsatz"/>
        <w:numPr>
          <w:ilvl w:val="0"/>
          <w:numId w:val="2"/>
        </w:numPr>
        <w:rPr>
          <w:sz w:val="24"/>
          <w:szCs w:val="24"/>
        </w:rPr>
      </w:pPr>
      <w:r w:rsidRPr="00C97094">
        <w:rPr>
          <w:sz w:val="24"/>
          <w:szCs w:val="24"/>
        </w:rPr>
        <w:t>dass die getätigten Ausgaben notwendig waren,</w:t>
      </w:r>
    </w:p>
    <w:p w:rsidR="003F0874" w:rsidRPr="00C97094" w:rsidRDefault="003F0874" w:rsidP="003F0874">
      <w:pPr>
        <w:pStyle w:val="Listenabsatz"/>
        <w:numPr>
          <w:ilvl w:val="0"/>
          <w:numId w:val="2"/>
        </w:numPr>
        <w:rPr>
          <w:sz w:val="24"/>
          <w:szCs w:val="24"/>
        </w:rPr>
      </w:pPr>
      <w:r w:rsidRPr="00C97094">
        <w:rPr>
          <w:sz w:val="24"/>
          <w:szCs w:val="24"/>
        </w:rPr>
        <w:t>dass wirtschaftlich und sparsam verfahren worden ist und</w:t>
      </w:r>
    </w:p>
    <w:p w:rsidR="003F0874" w:rsidRPr="00C97094" w:rsidRDefault="003F0874" w:rsidP="003F0874">
      <w:pPr>
        <w:pStyle w:val="Listenabsatz"/>
        <w:numPr>
          <w:ilvl w:val="0"/>
          <w:numId w:val="2"/>
        </w:numPr>
        <w:rPr>
          <w:sz w:val="24"/>
          <w:szCs w:val="24"/>
        </w:rPr>
      </w:pPr>
      <w:r w:rsidRPr="00C97094">
        <w:rPr>
          <w:sz w:val="24"/>
          <w:szCs w:val="24"/>
        </w:rPr>
        <w:t>die Angaben mit den Büchern und Belegen übereinstimmen.</w:t>
      </w:r>
    </w:p>
    <w:p w:rsidR="003F0874" w:rsidRPr="00C97094" w:rsidRDefault="003F0874" w:rsidP="003F0874">
      <w:pPr>
        <w:rPr>
          <w:sz w:val="24"/>
          <w:szCs w:val="24"/>
        </w:rPr>
      </w:pPr>
      <w:r w:rsidRPr="00C97094">
        <w:rPr>
          <w:sz w:val="24"/>
          <w:szCs w:val="24"/>
        </w:rPr>
        <w:t>Die Richtigkeit der Eintragung und des Abschlusses im dazugehörigen Verwendungsnachweis wird hiermit bestätigt.</w:t>
      </w:r>
    </w:p>
    <w:p w:rsidR="00C97094" w:rsidRPr="00C97094" w:rsidRDefault="00C97094" w:rsidP="00C97094">
      <w:pPr>
        <w:rPr>
          <w:sz w:val="24"/>
          <w:szCs w:val="24"/>
        </w:rPr>
      </w:pPr>
      <w:r w:rsidRPr="00C97094">
        <w:rPr>
          <w:sz w:val="24"/>
          <w:szCs w:val="24"/>
        </w:rPr>
        <w:t>Ebenso bestätigen wir, dass der (Honorar-/Arbeits-)Vertrag einen Passus beinhaltet, der besagt, dass die Fahrtkosten im Falle der Übernahme an anderer Stelle, z.B. im Rahmen der Steuererklärung, nicht mehr geltend gemacht werden können. Sollte dies innerhalb des Vertrages nicht möglich sein, wurde die Lehrkraft schriftlich über diese Information belehrt (bspw. per E-Mail).</w:t>
      </w:r>
    </w:p>
    <w:p w:rsidR="003F0874" w:rsidRPr="00C97094" w:rsidRDefault="003F0874" w:rsidP="003F0874">
      <w:pPr>
        <w:rPr>
          <w:sz w:val="24"/>
          <w:szCs w:val="24"/>
        </w:rPr>
      </w:pPr>
      <w:r w:rsidRPr="00C97094">
        <w:rPr>
          <w:sz w:val="24"/>
          <w:szCs w:val="24"/>
        </w:rPr>
        <w:t>Darüber hinaus bestätigen wir, dass alle Belege, die dem Landesverband als Kopie eingereicht wurden in unserem Haus als Original vorliegen und die eingereichten Kopien mit diesen übereinstimmen. Die Originaldokumente sind so verwahrt, dass sie im Falle einer Prüfung kurzfristig dem Landesverband oder einer anderen berechtigten anfordernden Stelle vorgelegt werden können.</w:t>
      </w:r>
    </w:p>
    <w:p w:rsidR="003F0874" w:rsidRPr="00C97094" w:rsidRDefault="003F0874" w:rsidP="003F0874">
      <w:pPr>
        <w:rPr>
          <w:sz w:val="24"/>
          <w:szCs w:val="24"/>
        </w:rPr>
      </w:pPr>
      <w:r w:rsidRPr="00C97094">
        <w:rPr>
          <w:sz w:val="24"/>
          <w:szCs w:val="24"/>
        </w:rPr>
        <w:t>Uns ist bewusst, dass es im Falle einer Nichtvorlage der Originale zu Rückforderungen der ausgezahlten Gelder kommen kann.</w:t>
      </w:r>
    </w:p>
    <w:p w:rsidR="003F0874" w:rsidRPr="00C97094" w:rsidRDefault="003F0874" w:rsidP="003F0874">
      <w:pPr>
        <w:pBdr>
          <w:bottom w:val="single" w:sz="4" w:space="1" w:color="auto"/>
        </w:pBdr>
        <w:rPr>
          <w:sz w:val="24"/>
          <w:szCs w:val="24"/>
        </w:rPr>
      </w:pPr>
    </w:p>
    <w:p w:rsidR="003F0874" w:rsidRPr="00C97094" w:rsidRDefault="003F0874" w:rsidP="003F0874">
      <w:pPr>
        <w:pBdr>
          <w:bottom w:val="single" w:sz="4" w:space="1" w:color="auto"/>
        </w:pBdr>
        <w:rPr>
          <w:sz w:val="24"/>
          <w:szCs w:val="24"/>
        </w:rPr>
      </w:pPr>
    </w:p>
    <w:p w:rsidR="003F0874" w:rsidRPr="00C97094" w:rsidRDefault="003F0874" w:rsidP="003F0874">
      <w:pPr>
        <w:pBdr>
          <w:bottom w:val="single" w:sz="4" w:space="1" w:color="auto"/>
        </w:pBdr>
        <w:rPr>
          <w:sz w:val="24"/>
          <w:szCs w:val="24"/>
        </w:rPr>
      </w:pPr>
      <w:r w:rsidRPr="00C97094">
        <w:rPr>
          <w:sz w:val="24"/>
          <w:szCs w:val="24"/>
        </w:rPr>
        <w:tab/>
      </w:r>
      <w:r w:rsidRPr="00C97094">
        <w:rPr>
          <w:sz w:val="24"/>
          <w:szCs w:val="24"/>
        </w:rPr>
        <w:tab/>
      </w:r>
      <w:r w:rsidRPr="00C97094">
        <w:rPr>
          <w:sz w:val="24"/>
          <w:szCs w:val="24"/>
        </w:rPr>
        <w:tab/>
      </w:r>
      <w:r w:rsidRPr="00C97094">
        <w:rPr>
          <w:sz w:val="24"/>
          <w:szCs w:val="24"/>
        </w:rPr>
        <w:tab/>
      </w:r>
    </w:p>
    <w:p w:rsidR="00564B6F" w:rsidRPr="00C97094" w:rsidRDefault="003F0874">
      <w:pPr>
        <w:rPr>
          <w:sz w:val="24"/>
          <w:szCs w:val="24"/>
        </w:rPr>
      </w:pPr>
      <w:r w:rsidRPr="00C97094">
        <w:rPr>
          <w:sz w:val="24"/>
          <w:szCs w:val="24"/>
        </w:rPr>
        <w:t>Ort, Datum</w:t>
      </w:r>
      <w:r w:rsidRPr="00C97094">
        <w:rPr>
          <w:sz w:val="24"/>
          <w:szCs w:val="24"/>
        </w:rPr>
        <w:tab/>
      </w:r>
      <w:r w:rsidRPr="00C97094">
        <w:rPr>
          <w:sz w:val="24"/>
          <w:szCs w:val="24"/>
        </w:rPr>
        <w:tab/>
      </w:r>
      <w:r w:rsidRPr="00C97094">
        <w:rPr>
          <w:sz w:val="24"/>
          <w:szCs w:val="24"/>
        </w:rPr>
        <w:tab/>
      </w:r>
      <w:r w:rsidRPr="00C97094">
        <w:rPr>
          <w:sz w:val="24"/>
          <w:szCs w:val="24"/>
        </w:rPr>
        <w:tab/>
      </w:r>
      <w:r w:rsidRPr="00C97094">
        <w:rPr>
          <w:sz w:val="24"/>
          <w:szCs w:val="24"/>
        </w:rPr>
        <w:tab/>
      </w:r>
      <w:r w:rsidRPr="00C97094">
        <w:rPr>
          <w:sz w:val="24"/>
          <w:szCs w:val="24"/>
        </w:rPr>
        <w:tab/>
        <w:t xml:space="preserve">      </w:t>
      </w:r>
      <w:r w:rsidRPr="00C97094">
        <w:rPr>
          <w:sz w:val="24"/>
          <w:szCs w:val="24"/>
        </w:rPr>
        <w:tab/>
      </w:r>
      <w:r w:rsidRPr="00C97094">
        <w:rPr>
          <w:sz w:val="24"/>
          <w:szCs w:val="24"/>
        </w:rPr>
        <w:tab/>
        <w:t>Stempel, Unterschrift</w:t>
      </w:r>
    </w:p>
    <w:sectPr w:rsidR="00564B6F" w:rsidRPr="00C9709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0AC" w:rsidRDefault="00DD70AC">
      <w:pPr>
        <w:spacing w:after="0" w:line="240" w:lineRule="auto"/>
      </w:pPr>
      <w:r>
        <w:separator/>
      </w:r>
    </w:p>
  </w:endnote>
  <w:endnote w:type="continuationSeparator" w:id="0">
    <w:p w:rsidR="00DD70AC" w:rsidRDefault="00DD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0AC" w:rsidRDefault="00DD70AC">
      <w:pPr>
        <w:spacing w:after="0" w:line="240" w:lineRule="auto"/>
      </w:pPr>
      <w:r>
        <w:separator/>
      </w:r>
    </w:p>
  </w:footnote>
  <w:footnote w:type="continuationSeparator" w:id="0">
    <w:p w:rsidR="00DD70AC" w:rsidRDefault="00DD7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094" w:rsidRDefault="00C97094">
    <w:pPr>
      <w:pStyle w:val="Kopfzeile"/>
    </w:pPr>
    <w:r>
      <w:rPr>
        <w:rStyle w:val="Platzhaltertext"/>
        <w:b/>
        <w:noProof/>
        <w:color w:val="auto"/>
        <w:sz w:val="44"/>
        <w:lang w:eastAsia="de-DE"/>
      </w:rPr>
      <w:drawing>
        <wp:anchor distT="0" distB="0" distL="114300" distR="114300" simplePos="0" relativeHeight="251659264" behindDoc="0" locked="0" layoutInCell="1" allowOverlap="1" wp14:anchorId="144BFECF" wp14:editId="427B16BA">
          <wp:simplePos x="0" y="0"/>
          <wp:positionH relativeFrom="column">
            <wp:posOffset>-95250</wp:posOffset>
          </wp:positionH>
          <wp:positionV relativeFrom="paragraph">
            <wp:posOffset>46990</wp:posOffset>
          </wp:positionV>
          <wp:extent cx="2526665" cy="407035"/>
          <wp:effectExtent l="0" t="0" r="6985" b="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hsLogoshorizontalpos.jpg"/>
                  <pic:cNvPicPr>
                    <a:picLocks noChangeAspect="1"/>
                  </pic:cNvPicPr>
                </pic:nvPicPr>
                <pic:blipFill>
                  <a:blip r:embed="rId1"/>
                  <a:stretch/>
                </pic:blipFill>
                <pic:spPr bwMode="auto">
                  <a:xfrm>
                    <a:off x="0" y="0"/>
                    <a:ext cx="2526665" cy="407035"/>
                  </a:xfrm>
                  <a:prstGeom prst="rect">
                    <a:avLst/>
                  </a:prstGeom>
                </pic:spPr>
              </pic:pic>
            </a:graphicData>
          </a:graphic>
          <wp14:sizeRelH relativeFrom="page">
            <wp14:pctWidth>0</wp14:pctWidth>
          </wp14:sizeRelH>
          <wp14:sizeRelV relativeFrom="page">
            <wp14:pctHeight>0</wp14:pctHeight>
          </wp14:sizeRelV>
        </wp:anchor>
      </w:drawing>
    </w:r>
    <w:r>
      <w:tab/>
    </w:r>
    <w:r>
      <w:tab/>
    </w:r>
    <w:r>
      <w:rPr>
        <w:b/>
        <w:noProof/>
        <w:sz w:val="44"/>
        <w:lang w:eastAsia="de-DE"/>
      </w:rPr>
      <w:drawing>
        <wp:inline distT="0" distB="0" distL="0" distR="0" wp14:anchorId="3FCCF29E" wp14:editId="34846686">
          <wp:extent cx="1491066" cy="6000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feS-Logo.jpg"/>
                  <pic:cNvPicPr/>
                </pic:nvPicPr>
                <pic:blipFill>
                  <a:blip r:embed="rId2">
                    <a:extLst>
                      <a:ext uri="{28A0092B-C50C-407E-A947-70E740481C1C}">
                        <a14:useLocalDpi xmlns:a14="http://schemas.microsoft.com/office/drawing/2010/main" val="0"/>
                      </a:ext>
                    </a:extLst>
                  </a:blip>
                  <a:stretch>
                    <a:fillRect/>
                  </a:stretch>
                </pic:blipFill>
                <pic:spPr>
                  <a:xfrm>
                    <a:off x="0" y="0"/>
                    <a:ext cx="1491066"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64014"/>
    <w:multiLevelType w:val="hybridMultilevel"/>
    <w:tmpl w:val="24C28D3E"/>
    <w:lvl w:ilvl="0" w:tplc="25AA43F6">
      <w:start w:val="1"/>
      <w:numFmt w:val="bullet"/>
      <w:lvlText w:val=""/>
      <w:lvlJc w:val="left"/>
      <w:pPr>
        <w:ind w:left="720" w:hanging="360"/>
      </w:pPr>
      <w:rPr>
        <w:rFonts w:ascii="Symbol" w:hAnsi="Symbol" w:hint="default"/>
      </w:rPr>
    </w:lvl>
    <w:lvl w:ilvl="1" w:tplc="C360BA12">
      <w:start w:val="1"/>
      <w:numFmt w:val="bullet"/>
      <w:lvlText w:val="o"/>
      <w:lvlJc w:val="left"/>
      <w:pPr>
        <w:ind w:left="1440" w:hanging="360"/>
      </w:pPr>
      <w:rPr>
        <w:rFonts w:ascii="Courier New" w:hAnsi="Courier New" w:cs="Courier New" w:hint="default"/>
      </w:rPr>
    </w:lvl>
    <w:lvl w:ilvl="2" w:tplc="C6EAAC94">
      <w:start w:val="1"/>
      <w:numFmt w:val="bullet"/>
      <w:lvlText w:val=""/>
      <w:lvlJc w:val="left"/>
      <w:pPr>
        <w:ind w:left="2160" w:hanging="360"/>
      </w:pPr>
      <w:rPr>
        <w:rFonts w:ascii="Wingdings" w:hAnsi="Wingdings" w:hint="default"/>
      </w:rPr>
    </w:lvl>
    <w:lvl w:ilvl="3" w:tplc="5F104B7E">
      <w:start w:val="1"/>
      <w:numFmt w:val="bullet"/>
      <w:lvlText w:val=""/>
      <w:lvlJc w:val="left"/>
      <w:pPr>
        <w:ind w:left="2880" w:hanging="360"/>
      </w:pPr>
      <w:rPr>
        <w:rFonts w:ascii="Symbol" w:hAnsi="Symbol" w:hint="default"/>
      </w:rPr>
    </w:lvl>
    <w:lvl w:ilvl="4" w:tplc="A7D4E09A">
      <w:start w:val="1"/>
      <w:numFmt w:val="bullet"/>
      <w:lvlText w:val="o"/>
      <w:lvlJc w:val="left"/>
      <w:pPr>
        <w:ind w:left="3600" w:hanging="360"/>
      </w:pPr>
      <w:rPr>
        <w:rFonts w:ascii="Courier New" w:hAnsi="Courier New" w:cs="Courier New" w:hint="default"/>
      </w:rPr>
    </w:lvl>
    <w:lvl w:ilvl="5" w:tplc="294C8E00">
      <w:start w:val="1"/>
      <w:numFmt w:val="bullet"/>
      <w:lvlText w:val=""/>
      <w:lvlJc w:val="left"/>
      <w:pPr>
        <w:ind w:left="4320" w:hanging="360"/>
      </w:pPr>
      <w:rPr>
        <w:rFonts w:ascii="Wingdings" w:hAnsi="Wingdings" w:hint="default"/>
      </w:rPr>
    </w:lvl>
    <w:lvl w:ilvl="6" w:tplc="22F464BA">
      <w:start w:val="1"/>
      <w:numFmt w:val="bullet"/>
      <w:lvlText w:val=""/>
      <w:lvlJc w:val="left"/>
      <w:pPr>
        <w:ind w:left="5040" w:hanging="360"/>
      </w:pPr>
      <w:rPr>
        <w:rFonts w:ascii="Symbol" w:hAnsi="Symbol" w:hint="default"/>
      </w:rPr>
    </w:lvl>
    <w:lvl w:ilvl="7" w:tplc="A87653B2">
      <w:start w:val="1"/>
      <w:numFmt w:val="bullet"/>
      <w:lvlText w:val="o"/>
      <w:lvlJc w:val="left"/>
      <w:pPr>
        <w:ind w:left="5760" w:hanging="360"/>
      </w:pPr>
      <w:rPr>
        <w:rFonts w:ascii="Courier New" w:hAnsi="Courier New" w:cs="Courier New" w:hint="default"/>
      </w:rPr>
    </w:lvl>
    <w:lvl w:ilvl="8" w:tplc="4B2C35AC">
      <w:start w:val="1"/>
      <w:numFmt w:val="bullet"/>
      <w:lvlText w:val=""/>
      <w:lvlJc w:val="left"/>
      <w:pPr>
        <w:ind w:left="6480" w:hanging="360"/>
      </w:pPr>
      <w:rPr>
        <w:rFonts w:ascii="Wingdings" w:hAnsi="Wingdings" w:hint="default"/>
      </w:rPr>
    </w:lvl>
  </w:abstractNum>
  <w:abstractNum w:abstractNumId="1" w15:restartNumberingAfterBreak="0">
    <w:nsid w:val="224743F5"/>
    <w:multiLevelType w:val="hybridMultilevel"/>
    <w:tmpl w:val="8D6C0562"/>
    <w:lvl w:ilvl="0" w:tplc="DFFEB722">
      <w:start w:val="1"/>
      <w:numFmt w:val="bullet"/>
      <w:lvlText w:val=""/>
      <w:lvlJc w:val="left"/>
      <w:pPr>
        <w:ind w:left="720" w:hanging="360"/>
      </w:pPr>
      <w:rPr>
        <w:rFonts w:ascii="Symbol" w:hAnsi="Symbol" w:hint="default"/>
      </w:rPr>
    </w:lvl>
    <w:lvl w:ilvl="1" w:tplc="16D2EC02">
      <w:start w:val="1"/>
      <w:numFmt w:val="bullet"/>
      <w:lvlText w:val="o"/>
      <w:lvlJc w:val="left"/>
      <w:pPr>
        <w:ind w:left="1440" w:hanging="360"/>
      </w:pPr>
      <w:rPr>
        <w:rFonts w:ascii="Courier New" w:hAnsi="Courier New" w:cs="Courier New" w:hint="default"/>
      </w:rPr>
    </w:lvl>
    <w:lvl w:ilvl="2" w:tplc="BD68F06E">
      <w:start w:val="1"/>
      <w:numFmt w:val="bullet"/>
      <w:lvlText w:val=""/>
      <w:lvlJc w:val="left"/>
      <w:pPr>
        <w:ind w:left="2160" w:hanging="360"/>
      </w:pPr>
      <w:rPr>
        <w:rFonts w:ascii="Wingdings" w:hAnsi="Wingdings" w:hint="default"/>
      </w:rPr>
    </w:lvl>
    <w:lvl w:ilvl="3" w:tplc="2F60BDE6">
      <w:start w:val="1"/>
      <w:numFmt w:val="bullet"/>
      <w:lvlText w:val=""/>
      <w:lvlJc w:val="left"/>
      <w:pPr>
        <w:ind w:left="2880" w:hanging="360"/>
      </w:pPr>
      <w:rPr>
        <w:rFonts w:ascii="Symbol" w:hAnsi="Symbol" w:hint="default"/>
      </w:rPr>
    </w:lvl>
    <w:lvl w:ilvl="4" w:tplc="D414A18E">
      <w:start w:val="1"/>
      <w:numFmt w:val="bullet"/>
      <w:lvlText w:val="o"/>
      <w:lvlJc w:val="left"/>
      <w:pPr>
        <w:ind w:left="3600" w:hanging="360"/>
      </w:pPr>
      <w:rPr>
        <w:rFonts w:ascii="Courier New" w:hAnsi="Courier New" w:cs="Courier New" w:hint="default"/>
      </w:rPr>
    </w:lvl>
    <w:lvl w:ilvl="5" w:tplc="3564CD16">
      <w:start w:val="1"/>
      <w:numFmt w:val="bullet"/>
      <w:lvlText w:val=""/>
      <w:lvlJc w:val="left"/>
      <w:pPr>
        <w:ind w:left="4320" w:hanging="360"/>
      </w:pPr>
      <w:rPr>
        <w:rFonts w:ascii="Wingdings" w:hAnsi="Wingdings" w:hint="default"/>
      </w:rPr>
    </w:lvl>
    <w:lvl w:ilvl="6" w:tplc="3BB2A902">
      <w:start w:val="1"/>
      <w:numFmt w:val="bullet"/>
      <w:lvlText w:val=""/>
      <w:lvlJc w:val="left"/>
      <w:pPr>
        <w:ind w:left="5040" w:hanging="360"/>
      </w:pPr>
      <w:rPr>
        <w:rFonts w:ascii="Symbol" w:hAnsi="Symbol" w:hint="default"/>
      </w:rPr>
    </w:lvl>
    <w:lvl w:ilvl="7" w:tplc="5C6E6E9E">
      <w:start w:val="1"/>
      <w:numFmt w:val="bullet"/>
      <w:lvlText w:val="o"/>
      <w:lvlJc w:val="left"/>
      <w:pPr>
        <w:ind w:left="5760" w:hanging="360"/>
      </w:pPr>
      <w:rPr>
        <w:rFonts w:ascii="Courier New" w:hAnsi="Courier New" w:cs="Courier New" w:hint="default"/>
      </w:rPr>
    </w:lvl>
    <w:lvl w:ilvl="8" w:tplc="353819BA">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6F"/>
    <w:rsid w:val="00171FA1"/>
    <w:rsid w:val="00201BF7"/>
    <w:rsid w:val="003F0874"/>
    <w:rsid w:val="00564B6F"/>
    <w:rsid w:val="00683AD0"/>
    <w:rsid w:val="00935F28"/>
    <w:rsid w:val="009A1A98"/>
    <w:rsid w:val="00C97094"/>
    <w:rsid w:val="00DD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66A5"/>
  <w15:docId w15:val="{55EF4B7D-0E71-4741-9C51-88D1E034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Cambria" w:eastAsia="Cambria" w:hAnsi="Cambria" w:cs="Cambria"/>
      <w:b/>
      <w:bCs/>
      <w:color w:val="365F91" w:themeColor="accent1" w:themeShade="BF"/>
      <w:sz w:val="28"/>
      <w:szCs w:val="28"/>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bbildungsverzeichnis">
    <w:name w:val="table of figures"/>
    <w:basedOn w:val="Standard"/>
    <w:next w:val="Standard"/>
    <w:uiPriority w:val="99"/>
    <w:unhideWhenUsed/>
    <w:pPr>
      <w:spacing w:after="0"/>
    </w:p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
    <w:name w:val="Einfache Tabelle 21"/>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
    <w:name w:val="Einfache Tabelle 41"/>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
    <w:name w:val="Einfache Tabelle 51"/>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
    <w:name w:val="Gitternetztabelle 1 hell1"/>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
    <w:name w:val="Gitternetztabelle 21"/>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
    <w:name w:val="Gitternetztabelle 31"/>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
    <w:name w:val="Gitternetztabelle 41"/>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
    <w:name w:val="Gitternetztabelle 5 dunkel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
    <w:name w:val="Gitternetztabelle 6 farbig1"/>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
    <w:name w:val="Gitternetztabelle 7 farbig1"/>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
    <w:name w:val="Listentabelle 1 hell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
    <w:name w:val="Listentabelle 21"/>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
    <w:name w:val="Listentabelle 31"/>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
    <w:name w:val="Listentabelle 41"/>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
    <w:name w:val="Listentabelle 5 dunkel1"/>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
    <w:name w:val="Listentabelle 6 farbig1"/>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
    <w:name w:val="Listentabelle 7 farbig1"/>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1Zchn">
    <w:name w:val="Überschrift 1 Zchn"/>
    <w:basedOn w:val="Absatz-Standardschriftart"/>
    <w:link w:val="berschrift1"/>
    <w:uiPriority w:val="9"/>
    <w:rPr>
      <w:rFonts w:ascii="Cambria" w:eastAsia="Cambria" w:hAnsi="Cambria" w:cs="Cambria"/>
      <w:b/>
      <w:bCs/>
      <w:color w:val="365F91" w:themeColor="accent1" w:themeShade="BF"/>
      <w:sz w:val="28"/>
      <w:szCs w:val="28"/>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1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Kreisverwaltung Mainz-Bingen</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Djemai, Sina</dc:creator>
  <cp:lastModifiedBy>Daniel Aßmann</cp:lastModifiedBy>
  <cp:revision>3</cp:revision>
  <dcterms:created xsi:type="dcterms:W3CDTF">2023-10-19T13:41:00Z</dcterms:created>
  <dcterms:modified xsi:type="dcterms:W3CDTF">2023-10-23T09:20:00Z</dcterms:modified>
</cp:coreProperties>
</file>